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FE0" w:rsidRPr="00B42AAC" w:rsidRDefault="00B42AAC" w:rsidP="00B42A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42AAC">
        <w:rPr>
          <w:rFonts w:ascii="Times New Roman" w:hAnsi="Times New Roman" w:cs="Times New Roman"/>
          <w:b/>
          <w:sz w:val="24"/>
          <w:szCs w:val="24"/>
        </w:rPr>
        <w:t>Сроки рассмотрения обращений граждан</w:t>
      </w:r>
    </w:p>
    <w:p w:rsidR="00B42AAC" w:rsidRPr="00B42AAC" w:rsidRDefault="00B42AAC" w:rsidP="00B42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2AA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Письменное обращение, поступившее в учреждение  рассматривается в течение 30 дней со дня регистрации письменного обращения, за исключением ч1ст.5 Закона №124-З  «Обращения родителей (лиц, их заменяющих) по вопросам организации отдыха и оздоровления детей» и  ч. 1.1 ст.5 Закона №124-З «Обращения граждан, призванных на военную службу по мобилизации в соответствии с Указом Президента Российской Федерации от 21 сентября 2022 года</w:t>
      </w:r>
      <w:proofErr w:type="gramEnd"/>
      <w:r w:rsidRPr="00B42AA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B42AA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N 647 "Об объявлении частичной мобилизации в Российской Федерации", или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 в ходе проведения специальной военной операции по демилитаризации и денацификации Украины (далее - СВО), или заключивших контракт с Министерством обороны Российской Федерации на прохождение военной службы в целях участия в СВО</w:t>
      </w:r>
      <w:proofErr w:type="gramEnd"/>
      <w:r w:rsidRPr="00B42AA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 а также принимающих участие в СВО военнослужащих, проходящих военную службу по контракту, и сотрудников (военнослужащих) войск национальной гвардии Российской Федерации, а также членов их семей» рассматриваются в течение 20 дней со дня регистрации обращения.</w:t>
      </w:r>
    </w:p>
    <w:p w:rsidR="00B42AAC" w:rsidRDefault="00B42AAC"/>
    <w:sectPr w:rsidR="00B42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AAC"/>
    <w:rsid w:val="00B42AAC"/>
    <w:rsid w:val="00C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2025-03-17T08:08:00Z</dcterms:created>
  <dcterms:modified xsi:type="dcterms:W3CDTF">2025-03-17T08:09:00Z</dcterms:modified>
</cp:coreProperties>
</file>